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411860</w:t>
      </w:r>
      <w:bookmarkStart w:id="2" w:name="_GoBack"/>
      <w:bookmarkEnd w:id="2"/>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UE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8.9.4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bidi w:val="0"/>
        <w:rPr>
          <w:rFonts w:hint="eastAsia"/>
          <w:sz w:val="20"/>
          <w:szCs w:val="18"/>
          <w:lang w:val="en-US" w:eastAsia="zh-CN"/>
        </w:rPr>
      </w:pPr>
      <w:r>
        <w:rPr>
          <w:rFonts w:hint="eastAsia"/>
          <w:sz w:val="20"/>
          <w:szCs w:val="18"/>
          <w:lang w:val="en-US" w:eastAsia="zh-CN"/>
        </w:rPr>
        <w:t>The objective of this WID states that specify RF requirements for satellite access node and NTN VSAT types in 38.101-5 also considering existing regulations on antenna sizes for certain parts of the Ku band. And NTN VAST is a UE operating in FR2-NTN which could be a Fixed VSAT or a Mobile VSAT. Firstly, we need to discuss whether Fixed VSAT and Mobile VSAT can be supported in Ku band.</w:t>
      </w:r>
    </w:p>
    <w:p>
      <w:pPr>
        <w:bidi w:val="0"/>
        <w:rPr>
          <w:rFonts w:hint="default"/>
          <w:b/>
          <w:bCs/>
          <w:sz w:val="20"/>
          <w:szCs w:val="18"/>
          <w:lang w:val="en-US" w:eastAsia="zh-CN"/>
        </w:rPr>
      </w:pPr>
      <w:r>
        <w:rPr>
          <w:rFonts w:hint="eastAsia"/>
          <w:b/>
          <w:bCs/>
          <w:sz w:val="20"/>
          <w:szCs w:val="18"/>
          <w:lang w:val="en-US" w:eastAsia="zh-CN"/>
        </w:rPr>
        <w:t>Proposal 1: We need to discuss whether Fixed VSAT and Mobile VSAT can be supported in Ku band.</w:t>
      </w:r>
    </w:p>
    <w:p>
      <w:pPr>
        <w:bidi w:val="0"/>
        <w:rPr>
          <w:rFonts w:hint="eastAsia"/>
          <w:sz w:val="20"/>
          <w:szCs w:val="18"/>
          <w:lang w:val="en-US" w:eastAsia="zh-CN"/>
        </w:rPr>
      </w:pPr>
      <w:r>
        <w:rPr>
          <w:rFonts w:hint="eastAsia"/>
          <w:sz w:val="20"/>
          <w:szCs w:val="18"/>
          <w:lang w:val="en-US" w:eastAsia="zh-CN"/>
        </w:rPr>
        <w:t>The following UE RF requirements need to be defined for NTN Ku band.</w:t>
      </w:r>
    </w:p>
    <w:p>
      <w:pPr>
        <w:jc w:val="center"/>
        <w:rPr>
          <w:rFonts w:hint="default"/>
          <w:b/>
          <w:bCs/>
          <w:lang w:val="en-US" w:eastAsia="zh-CN"/>
        </w:rPr>
      </w:pPr>
      <w:r>
        <w:rPr>
          <w:rFonts w:hint="eastAsia" w:cs="Times New Roman"/>
          <w:b/>
          <w:bCs/>
          <w:kern w:val="2"/>
          <w:sz w:val="20"/>
          <w:szCs w:val="20"/>
          <w:lang w:val="en-US" w:eastAsia="zh-CN" w:bidi="ar-SA"/>
        </w:rPr>
        <w:t>Table 2.1 UE RF requirements for NTN Ku band</w:t>
      </w:r>
    </w:p>
    <w:tbl>
      <w:tblPr>
        <w:tblStyle w:val="23"/>
        <w:tblW w:w="0" w:type="auto"/>
        <w:tblInd w:w="0" w:type="dxa"/>
        <w:tblLayout w:type="autofit"/>
        <w:tblCellMar>
          <w:top w:w="0" w:type="dxa"/>
          <w:left w:w="70" w:type="dxa"/>
          <w:bottom w:w="0" w:type="dxa"/>
          <w:right w:w="70" w:type="dxa"/>
        </w:tblCellMar>
      </w:tblPr>
      <w:tblGrid>
        <w:gridCol w:w="2732"/>
        <w:gridCol w:w="7068"/>
      </w:tblGrid>
      <w:tr>
        <w:tblPrEx>
          <w:tblCellMar>
            <w:top w:w="0" w:type="dxa"/>
            <w:left w:w="70" w:type="dxa"/>
            <w:bottom w:w="0" w:type="dxa"/>
            <w:right w:w="70" w:type="dxa"/>
          </w:tblCellMar>
        </w:tblPrEx>
        <w:trPr>
          <w:trHeight w:val="31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fi-FI" w:bidi="ar-SA"/>
              </w:rPr>
            </w:pPr>
            <w:r>
              <w:rPr>
                <w:rFonts w:hint="eastAsia" w:ascii="Times New Roman" w:hAnsi="Times New Roman" w:eastAsia="宋体" w:cs="Times New Roman"/>
                <w:b/>
                <w:bCs/>
                <w:kern w:val="2"/>
                <w:sz w:val="20"/>
                <w:szCs w:val="20"/>
                <w:lang w:val="en-US" w:eastAsia="fi-FI" w:bidi="ar-SA"/>
              </w:rPr>
              <w:t>NR</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UE Tx/Rx requirement</w:t>
            </w:r>
          </w:p>
        </w:tc>
        <w:tc>
          <w:tcPr>
            <w:tcW w:w="0" w:type="auto"/>
            <w:tcBorders>
              <w:top w:val="single" w:color="auto" w:sz="4" w:space="0"/>
              <w:left w:val="nil"/>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fi-FI" w:bidi="ar-SA"/>
              </w:rPr>
              <w:t>Proposal</w:t>
            </w:r>
            <w:r>
              <w:rPr>
                <w:rFonts w:hint="eastAsia" w:ascii="Times New Roman" w:hAnsi="Times New Roman" w:eastAsia="宋体" w:cs="Times New Roman"/>
                <w:b/>
                <w:bCs/>
                <w:kern w:val="2"/>
                <w:sz w:val="20"/>
                <w:szCs w:val="20"/>
                <w:lang w:val="en-US" w:eastAsia="zh-CN" w:bidi="ar-SA"/>
              </w:rPr>
              <w:t>s</w:t>
            </w:r>
            <w:r>
              <w:rPr>
                <w:rFonts w:hint="eastAsia" w:ascii="Times New Roman" w:hAnsi="Times New Roman" w:eastAsia="宋体" w:cs="Times New Roman"/>
                <w:b/>
                <w:bCs/>
                <w:kern w:val="2"/>
                <w:sz w:val="20"/>
                <w:szCs w:val="20"/>
                <w:lang w:val="fi-FI" w:eastAsia="fi-FI" w:bidi="ar-SA"/>
              </w:rPr>
              <w:t xml:space="preserve"> for NTN Ku band</w:t>
            </w:r>
          </w:p>
        </w:tc>
      </w:tr>
      <w:tr>
        <w:tblPrEx>
          <w:tblCellMar>
            <w:top w:w="0" w:type="dxa"/>
            <w:left w:w="70" w:type="dxa"/>
            <w:bottom w:w="0" w:type="dxa"/>
            <w:right w:w="70" w:type="dxa"/>
          </w:tblCellMar>
        </w:tblPrEx>
        <w:trPr>
          <w:trHeight w:val="31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hint="eastAsia" w:eastAsia="宋体"/>
                <w:color w:val="000000"/>
                <w:sz w:val="20"/>
                <w:szCs w:val="20"/>
                <w:lang w:val="en-US" w:eastAsia="zh-CN"/>
              </w:rPr>
              <w:t>UE</w:t>
            </w:r>
            <w:r>
              <w:rPr>
                <w:rFonts w:hint="eastAsia" w:eastAsia="Times New Roman"/>
                <w:color w:val="000000"/>
                <w:sz w:val="20"/>
                <w:szCs w:val="20"/>
                <w:lang w:val="fi-FI" w:eastAsia="fi-FI"/>
              </w:rPr>
              <w:t xml:space="preserve"> maximum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B</w:t>
            </w:r>
            <w:r>
              <w:rPr>
                <w:rFonts w:hint="eastAsia" w:eastAsia="宋体"/>
                <w:color w:val="000000"/>
                <w:sz w:val="20"/>
                <w:szCs w:val="20"/>
                <w:lang w:val="en-US" w:eastAsia="zh-CN"/>
              </w:rPr>
              <w:t>and specific</w:t>
            </w:r>
            <w:r>
              <w:rPr>
                <w:rFonts w:eastAsia="Times New Roman"/>
                <w:color w:val="000000"/>
                <w:sz w:val="20"/>
                <w:szCs w:val="20"/>
                <w:lang w:eastAsia="fi-FI"/>
              </w:rPr>
              <w:t xml:space="preserve"> --&gt; </w:t>
            </w:r>
            <w:r>
              <w:rPr>
                <w:rFonts w:hint="eastAsia" w:eastAsia="宋体"/>
                <w:color w:val="000000"/>
                <w:sz w:val="20"/>
                <w:szCs w:val="20"/>
                <w:lang w:val="en-US" w:eastAsia="zh-CN"/>
              </w:rPr>
              <w:t>S</w:t>
            </w:r>
            <w:r>
              <w:rPr>
                <w:rFonts w:eastAsia="Times New Roman"/>
                <w:color w:val="000000"/>
                <w:sz w:val="20"/>
                <w:szCs w:val="20"/>
                <w:lang w:val="fi-FI"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eastAsia"/>
                <w:color w:val="000000"/>
                <w:sz w:val="20"/>
                <w:szCs w:val="20"/>
                <w:lang w:val="en-US" w:eastAsia="zh-CN"/>
              </w:rPr>
            </w:pPr>
            <w:r>
              <w:rPr>
                <w:rFonts w:hint="eastAsia"/>
                <w:color w:val="000000"/>
                <w:sz w:val="20"/>
                <w:szCs w:val="20"/>
                <w:lang w:val="en-US" w:eastAsia="zh-CN"/>
              </w:rPr>
              <w:t>Need further check whether and which the following requirements defined for FR2-NTN bands can be reused.</w:t>
            </w:r>
          </w:p>
          <w:p>
            <w:pPr>
              <w:pStyle w:val="34"/>
              <w:numPr>
                <w:ilvl w:val="0"/>
                <w:numId w:val="11"/>
              </w:numPr>
              <w:spacing w:after="160" w:line="259" w:lineRule="auto"/>
              <w:contextualSpacing w:val="0"/>
              <w:rPr>
                <w:sz w:val="20"/>
                <w:szCs w:val="20"/>
                <w:lang w:eastAsia="zh-CN"/>
              </w:rPr>
            </w:pPr>
            <w:r>
              <w:rPr>
                <w:sz w:val="20"/>
                <w:szCs w:val="20"/>
                <w:lang w:eastAsia="zh-CN"/>
              </w:rPr>
              <w:t>Minimum peak EIRP for Fixed VSAT</w:t>
            </w:r>
          </w:p>
          <w:p>
            <w:pPr>
              <w:pStyle w:val="34"/>
              <w:numPr>
                <w:ilvl w:val="0"/>
                <w:numId w:val="11"/>
              </w:numPr>
              <w:spacing w:after="160" w:line="259" w:lineRule="auto"/>
              <w:contextualSpacing w:val="0"/>
              <w:rPr>
                <w:sz w:val="20"/>
                <w:szCs w:val="20"/>
                <w:lang w:eastAsia="zh-CN"/>
              </w:rPr>
            </w:pPr>
            <w:r>
              <w:rPr>
                <w:sz w:val="20"/>
                <w:szCs w:val="20"/>
                <w:lang w:eastAsia="zh-CN"/>
              </w:rPr>
              <w:t>Maximum output power limits for Fixed VSAT</w:t>
            </w:r>
          </w:p>
          <w:p>
            <w:pPr>
              <w:pStyle w:val="34"/>
              <w:numPr>
                <w:ilvl w:val="0"/>
                <w:numId w:val="11"/>
              </w:numPr>
              <w:spacing w:after="160" w:line="259" w:lineRule="auto"/>
              <w:contextualSpacing w:val="0"/>
              <w:rPr>
                <w:sz w:val="20"/>
                <w:szCs w:val="20"/>
                <w:lang w:eastAsia="zh-CN"/>
              </w:rPr>
            </w:pPr>
            <w:r>
              <w:rPr>
                <w:sz w:val="20"/>
                <w:szCs w:val="20"/>
                <w:lang w:eastAsia="zh-CN"/>
              </w:rPr>
              <w:t>Minimum peak EIRP for Mobile VSAT</w:t>
            </w:r>
          </w:p>
          <w:p>
            <w:pPr>
              <w:pStyle w:val="34"/>
              <w:numPr>
                <w:ilvl w:val="0"/>
                <w:numId w:val="11"/>
              </w:numPr>
              <w:spacing w:after="160" w:line="259" w:lineRule="auto"/>
              <w:contextualSpacing w:val="0"/>
              <w:rPr>
                <w:rFonts w:hint="default"/>
                <w:lang w:val="en-US" w:eastAsia="zh-CN"/>
              </w:rPr>
            </w:pPr>
            <w:r>
              <w:rPr>
                <w:sz w:val="20"/>
                <w:szCs w:val="20"/>
                <w:lang w:eastAsia="zh-CN"/>
              </w:rPr>
              <w:t>Maximum output power limits for Mobile VSAT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 xml:space="preserve">UE </w:t>
            </w:r>
            <w:r>
              <w:rPr>
                <w:rFonts w:hint="eastAsia" w:eastAsia="宋体"/>
                <w:color w:val="000000"/>
                <w:sz w:val="20"/>
                <w:szCs w:val="20"/>
                <w:lang w:val="en-US" w:eastAsia="zh-CN"/>
              </w:rPr>
              <w:t>maximum output power reduction</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color w:val="000000"/>
                <w:sz w:val="20"/>
                <w:szCs w:val="20"/>
                <w:lang w:val="en-US" w:eastAsia="zh-CN"/>
              </w:rPr>
            </w:pPr>
            <w:r>
              <w:rPr>
                <w:rFonts w:hint="eastAsia"/>
                <w:color w:val="000000"/>
                <w:sz w:val="20"/>
                <w:szCs w:val="20"/>
                <w:lang w:val="en-US" w:eastAsia="zh-CN"/>
              </w:rPr>
              <w:t>Depend on the ACLR, SEM and EVM requirement and discussion could be postponed until other requirement is more clear.</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hint="eastAsia" w:eastAsia="宋体"/>
                <w:color w:val="000000"/>
                <w:sz w:val="20"/>
                <w:szCs w:val="20"/>
                <w:lang w:val="en-US" w:eastAsia="zh-CN"/>
              </w:rPr>
              <w:t>UE additional maximum output power reduction</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color w:val="000000"/>
                <w:sz w:val="20"/>
                <w:szCs w:val="20"/>
                <w:lang w:val="en-US" w:eastAsia="zh-CN"/>
              </w:rPr>
            </w:pPr>
            <w:r>
              <w:rPr>
                <w:rFonts w:hint="eastAsia"/>
                <w:color w:val="000000"/>
                <w:sz w:val="20"/>
                <w:szCs w:val="20"/>
                <w:lang w:val="en-US" w:eastAsia="zh-CN"/>
              </w:rPr>
              <w:t>B</w:t>
            </w:r>
            <w:r>
              <w:rPr>
                <w:rFonts w:hint="eastAsia" w:eastAsia="宋体"/>
                <w:color w:val="000000"/>
                <w:sz w:val="20"/>
                <w:szCs w:val="20"/>
                <w:lang w:val="en-US" w:eastAsia="zh-CN"/>
              </w:rPr>
              <w:t>and specific</w:t>
            </w:r>
            <w:r>
              <w:rPr>
                <w:rFonts w:eastAsia="Times New Roman"/>
                <w:color w:val="000000"/>
                <w:sz w:val="20"/>
                <w:szCs w:val="20"/>
                <w:lang w:eastAsia="fi-FI"/>
              </w:rPr>
              <w:t xml:space="preserve"> --&gt; </w:t>
            </w:r>
            <w:r>
              <w:rPr>
                <w:rFonts w:hint="eastAsia" w:eastAsia="宋体"/>
                <w:color w:val="000000"/>
                <w:sz w:val="20"/>
                <w:szCs w:val="20"/>
                <w:lang w:val="en-US" w:eastAsia="zh-CN"/>
              </w:rPr>
              <w:t>S</w:t>
            </w:r>
            <w:r>
              <w:rPr>
                <w:rFonts w:eastAsia="Times New Roman"/>
                <w:color w:val="000000"/>
                <w:sz w:val="20"/>
                <w:szCs w:val="20"/>
                <w:lang w:val="fi-FI"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default" w:eastAsia="宋体"/>
                <w:color w:val="000000"/>
                <w:sz w:val="20"/>
                <w:szCs w:val="20"/>
                <w:lang w:val="en-US" w:eastAsia="zh-CN"/>
              </w:rPr>
            </w:pPr>
            <w:r>
              <w:rPr>
                <w:rFonts w:hint="eastAsia"/>
                <w:color w:val="000000"/>
                <w:sz w:val="20"/>
                <w:szCs w:val="20"/>
                <w:lang w:val="en-US" w:eastAsia="zh-CN"/>
              </w:rPr>
              <w:t>Depend on other coexistence requirement or regulatory requirement. Operators</w:t>
            </w:r>
            <w:r>
              <w:rPr>
                <w:rFonts w:hint="default"/>
                <w:color w:val="000000"/>
                <w:sz w:val="20"/>
                <w:szCs w:val="20"/>
                <w:lang w:val="en-US" w:eastAsia="zh-CN"/>
              </w:rPr>
              <w:t>’</w:t>
            </w:r>
            <w:r>
              <w:rPr>
                <w:rFonts w:hint="eastAsia"/>
                <w:color w:val="000000"/>
                <w:sz w:val="20"/>
                <w:szCs w:val="20"/>
                <w:lang w:val="en-US" w:eastAsia="zh-CN"/>
              </w:rPr>
              <w:t xml:space="preserve"> input are encouraged. </w:t>
            </w:r>
          </w:p>
        </w:tc>
      </w:tr>
      <w:tr>
        <w:tblPrEx>
          <w:tblCellMar>
            <w:top w:w="0" w:type="dxa"/>
            <w:left w:w="70" w:type="dxa"/>
            <w:bottom w:w="0" w:type="dxa"/>
            <w:right w:w="70" w:type="dxa"/>
          </w:tblCellMar>
        </w:tblPrEx>
        <w:trPr>
          <w:trHeight w:val="6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Configured transmitted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Minimum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Not applicable to VSAT.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Transmit OFF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eastAsia="fi-FI"/>
              </w:rPr>
            </w:pPr>
            <w:r>
              <w:rPr>
                <w:rFonts w:eastAsia="Times New Roman"/>
                <w:color w:val="000000"/>
                <w:sz w:val="20"/>
                <w:szCs w:val="20"/>
                <w:lang w:eastAsia="fi-FI"/>
              </w:rPr>
              <w:t>Transmit ON/OFF time mask</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Power control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Frequency error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Transmit modulation quality</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Occupied bandwidth</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color w:val="000000"/>
                <w:sz w:val="20"/>
                <w:szCs w:val="20"/>
                <w:lang w:val="en-US" w:eastAsia="zh-CN"/>
              </w:rPr>
            </w:pPr>
            <w:r>
              <w:rPr>
                <w:rFonts w:hint="eastAsia" w:eastAsia="宋体"/>
                <w:color w:val="000000"/>
                <w:sz w:val="20"/>
                <w:szCs w:val="20"/>
                <w:lang w:val="en-US" w:eastAsia="zh-CN"/>
              </w:rPr>
              <w:t>Not band specific</w:t>
            </w:r>
            <w:r>
              <w:rPr>
                <w:rFonts w:hint="eastAsia"/>
                <w:color w:val="000000"/>
                <w:sz w:val="20"/>
                <w:szCs w:val="20"/>
                <w:lang w:val="en-US" w:eastAsia="zh-CN"/>
              </w:rPr>
              <w:t>.</w:t>
            </w:r>
          </w:p>
          <w:p>
            <w:pPr>
              <w:spacing w:after="0"/>
              <w:rPr>
                <w:rFonts w:hint="default"/>
                <w:color w:val="000000"/>
                <w:sz w:val="20"/>
                <w:szCs w:val="20"/>
                <w:lang w:val="en-US" w:eastAsia="fi-FI"/>
              </w:rPr>
            </w:pPr>
            <w:r>
              <w:rPr>
                <w:rFonts w:hint="eastAsia"/>
                <w:color w:val="000000"/>
                <w:sz w:val="20"/>
                <w:szCs w:val="20"/>
                <w:lang w:val="en-US" w:eastAsia="zh-CN"/>
              </w:rPr>
              <w:t>If we divide Ku band to FR1, requirements for 20 MHz, 35 MHz, 50 MHz, 70 MHz and 100 MHz channel bandwidth need to be defined.</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Spectrum emission mask</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eastAsia="Times New Roman"/>
                <w:color w:val="000000"/>
                <w:sz w:val="20"/>
                <w:szCs w:val="20"/>
                <w:lang w:eastAsia="fi-FI"/>
              </w:rPr>
            </w:pPr>
            <w:r>
              <w:rPr>
                <w:rFonts w:eastAsia="Times New Roman"/>
                <w:color w:val="000000"/>
                <w:sz w:val="20"/>
                <w:szCs w:val="20"/>
                <w:lang w:eastAsia="fi-FI"/>
              </w:rPr>
              <w:t>Specification impact</w:t>
            </w:r>
            <w:r>
              <w:rPr>
                <w:rFonts w:hint="eastAsia" w:eastAsia="宋体"/>
                <w:color w:val="000000"/>
                <w:sz w:val="20"/>
                <w:szCs w:val="20"/>
                <w:lang w:val="en-US" w:eastAsia="zh-CN"/>
              </w:rPr>
              <w:t xml:space="preserve">. Need to check </w:t>
            </w:r>
            <w:r>
              <w:rPr>
                <w:rFonts w:hint="eastAsia"/>
                <w:color w:val="000000"/>
                <w:sz w:val="20"/>
                <w:szCs w:val="20"/>
                <w:lang w:val="en-US" w:eastAsia="zh-CN"/>
              </w:rPr>
              <w:t>whether</w:t>
            </w:r>
            <w:r>
              <w:rPr>
                <w:rFonts w:hint="eastAsia" w:eastAsia="宋体"/>
                <w:color w:val="000000"/>
                <w:sz w:val="20"/>
                <w:szCs w:val="20"/>
                <w:lang w:val="en-US" w:eastAsia="zh-CN"/>
              </w:rPr>
              <w:t xml:space="preserve"> general SEM defined for </w:t>
            </w:r>
            <w:r>
              <w:rPr>
                <w:rFonts w:hint="eastAsia"/>
                <w:color w:val="000000"/>
                <w:sz w:val="20"/>
                <w:szCs w:val="20"/>
                <w:lang w:val="en-US" w:eastAsia="zh-CN"/>
              </w:rPr>
              <w:t>FR2-NTN can be reused and whether additional SEM is needed for NTN Ku band</w:t>
            </w:r>
            <w:r>
              <w:rPr>
                <w:rFonts w:eastAsia="Times New Roman"/>
                <w:color w:val="000000"/>
                <w:sz w:val="20"/>
                <w:szCs w:val="20"/>
                <w:lang w:eastAsia="fi-FI"/>
              </w:rPr>
              <w: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hint="eastAsia" w:eastAsia="Times New Roman"/>
                <w:color w:val="000000"/>
                <w:sz w:val="20"/>
                <w:szCs w:val="20"/>
                <w:lang w:val="fi-FI" w:eastAsia="fi-FI"/>
              </w:rPr>
              <w:t>Adjacent channel leakage ratio</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color w:val="000000"/>
                <w:sz w:val="20"/>
                <w:szCs w:val="20"/>
                <w:lang w:val="en-US" w:eastAsia="zh-CN"/>
              </w:rPr>
            </w:pPr>
            <w:r>
              <w:rPr>
                <w:rFonts w:hint="eastAsia" w:eastAsia="宋体"/>
                <w:color w:val="000000"/>
                <w:sz w:val="20"/>
                <w:szCs w:val="20"/>
                <w:lang w:val="en-US" w:eastAsia="zh-CN"/>
              </w:rPr>
              <w:t>S</w:t>
            </w:r>
            <w:r>
              <w:rPr>
                <w:rFonts w:eastAsia="Times New Roman"/>
                <w:color w:val="000000"/>
                <w:sz w:val="20"/>
                <w:szCs w:val="20"/>
                <w:lang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default" w:eastAsia="宋体"/>
                <w:color w:val="000000"/>
                <w:sz w:val="20"/>
                <w:szCs w:val="20"/>
                <w:lang w:val="en-US" w:eastAsia="zh-CN"/>
              </w:rPr>
            </w:pPr>
            <w:r>
              <w:rPr>
                <w:rFonts w:hint="eastAsia"/>
                <w:color w:val="000000"/>
                <w:sz w:val="20"/>
                <w:szCs w:val="20"/>
                <w:lang w:val="en-US" w:eastAsia="zh-CN"/>
              </w:rPr>
              <w:t>Depend on the outcome of coexistence study.</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hint="eastAsia" w:eastAsia="宋体"/>
                <w:color w:val="000000"/>
                <w:sz w:val="20"/>
                <w:szCs w:val="20"/>
                <w:lang w:val="en-US" w:eastAsia="zh-CN"/>
              </w:rPr>
              <w:t>S</w:t>
            </w:r>
            <w:r>
              <w:rPr>
                <w:rFonts w:eastAsia="Times New Roman"/>
                <w:color w:val="000000"/>
                <w:sz w:val="20"/>
                <w:szCs w:val="20"/>
                <w:lang w:val="fi-FI" w:eastAsia="fi-FI"/>
              </w:rPr>
              <w:t>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S</w:t>
            </w:r>
            <w:r>
              <w:rPr>
                <w:rFonts w:eastAsia="Times New Roman"/>
                <w:color w:val="000000"/>
                <w:sz w:val="20"/>
                <w:szCs w:val="20"/>
                <w:lang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default"/>
                <w:color w:val="000000"/>
                <w:sz w:val="20"/>
                <w:szCs w:val="20"/>
                <w:lang w:val="en-US" w:eastAsia="zh-CN"/>
              </w:rPr>
            </w:pPr>
            <w:r>
              <w:rPr>
                <w:rFonts w:hint="eastAsia" w:eastAsia="宋体"/>
                <w:color w:val="000000"/>
                <w:sz w:val="20"/>
                <w:szCs w:val="20"/>
                <w:lang w:val="en-US" w:eastAsia="zh-CN"/>
              </w:rPr>
              <w:t xml:space="preserve">Need to check </w:t>
            </w:r>
            <w:r>
              <w:rPr>
                <w:rFonts w:hint="eastAsia"/>
                <w:color w:val="000000"/>
                <w:sz w:val="20"/>
                <w:szCs w:val="20"/>
                <w:lang w:val="en-US" w:eastAsia="zh-CN"/>
              </w:rPr>
              <w:t>whether</w:t>
            </w:r>
            <w:r>
              <w:rPr>
                <w:rFonts w:hint="eastAsia" w:eastAsia="宋体"/>
                <w:color w:val="000000"/>
                <w:sz w:val="20"/>
                <w:szCs w:val="20"/>
                <w:lang w:val="en-US" w:eastAsia="zh-CN"/>
              </w:rPr>
              <w:t xml:space="preserve"> general SEM defined for </w:t>
            </w:r>
            <w:r>
              <w:rPr>
                <w:rFonts w:hint="eastAsia"/>
                <w:color w:val="000000"/>
                <w:sz w:val="20"/>
                <w:szCs w:val="20"/>
                <w:lang w:val="en-US" w:eastAsia="zh-CN"/>
              </w:rPr>
              <w:t>FR2-NTN can be reused, and whether on-axis and off-axis needs to be defined for Ku band.</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hint="eastAsia"/>
                <w:color w:val="000000"/>
                <w:sz w:val="20"/>
                <w:szCs w:val="20"/>
                <w:lang w:val="en-US" w:eastAsia="zh-CN"/>
              </w:rPr>
              <w:t>R</w:t>
            </w:r>
            <w:r>
              <w:rPr>
                <w:rFonts w:eastAsia="Times New Roman"/>
                <w:color w:val="000000"/>
                <w:sz w:val="20"/>
                <w:szCs w:val="20"/>
                <w:lang w:val="fi-FI" w:eastAsia="fi-FI"/>
              </w:rPr>
              <w:t>eference sensitivity</w:t>
            </w:r>
            <w:r>
              <w:rPr>
                <w:rFonts w:hint="eastAsia" w:eastAsia="宋体"/>
                <w:color w:val="000000"/>
                <w:sz w:val="20"/>
                <w:szCs w:val="20"/>
                <w:lang w:val="en-US" w:eastAsia="zh-CN"/>
              </w:rPr>
              <w:t xml:space="preserve"> level</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color w:val="000000"/>
                <w:sz w:val="20"/>
                <w:szCs w:val="20"/>
                <w:lang w:val="en-US" w:eastAsia="zh-CN"/>
              </w:rPr>
            </w:pPr>
            <w:r>
              <w:rPr>
                <w:rFonts w:hint="eastAsia"/>
                <w:color w:val="000000"/>
                <w:sz w:val="20"/>
                <w:szCs w:val="20"/>
                <w:lang w:val="en-US" w:eastAsia="zh-CN"/>
              </w:rPr>
              <w:t>B</w:t>
            </w:r>
            <w:r>
              <w:rPr>
                <w:rFonts w:hint="eastAsia" w:eastAsia="宋体"/>
                <w:color w:val="000000"/>
                <w:sz w:val="20"/>
                <w:szCs w:val="20"/>
                <w:lang w:val="en-US" w:eastAsia="zh-CN"/>
              </w:rPr>
              <w:t>and specific</w:t>
            </w:r>
            <w:r>
              <w:rPr>
                <w:rFonts w:eastAsia="Times New Roman"/>
                <w:color w:val="000000"/>
                <w:sz w:val="20"/>
                <w:szCs w:val="20"/>
                <w:lang w:eastAsia="fi-FI"/>
              </w:rPr>
              <w:t xml:space="preserve"> --&gt; </w:t>
            </w:r>
            <w:r>
              <w:rPr>
                <w:rFonts w:hint="eastAsia" w:eastAsia="宋体"/>
                <w:color w:val="000000"/>
                <w:sz w:val="20"/>
                <w:szCs w:val="20"/>
                <w:lang w:val="en-US" w:eastAsia="zh-CN"/>
              </w:rPr>
              <w:t>S</w:t>
            </w:r>
            <w:r>
              <w:rPr>
                <w:rFonts w:eastAsia="Times New Roman"/>
                <w:color w:val="000000"/>
                <w:sz w:val="20"/>
                <w:szCs w:val="20"/>
                <w:lang w:val="fi-FI"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default" w:eastAsia="宋体"/>
                <w:color w:val="000000"/>
                <w:sz w:val="20"/>
                <w:szCs w:val="20"/>
                <w:lang w:val="en-US" w:eastAsia="zh-CN"/>
              </w:rPr>
            </w:pPr>
            <w:r>
              <w:rPr>
                <w:rFonts w:hint="eastAsia"/>
                <w:color w:val="000000"/>
                <w:sz w:val="20"/>
                <w:szCs w:val="20"/>
                <w:lang w:val="en-US" w:eastAsia="zh-CN"/>
              </w:rPr>
              <w:t>Need further study.</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Max input level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If we divide Ku band to FR1, requirements for 20 MHz, 35 MHz, 50 MHz, 70 MHz and 100 MHz channel bandwidth need to be defined.</w:t>
            </w:r>
          </w:p>
        </w:tc>
      </w:tr>
      <w:tr>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Adjacent channel selectivity</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S</w:t>
            </w:r>
            <w:r>
              <w:rPr>
                <w:rFonts w:eastAsia="Times New Roman"/>
                <w:color w:val="000000"/>
                <w:sz w:val="20"/>
                <w:szCs w:val="20"/>
                <w:lang w:val="fi-FI" w:eastAsia="fi-FI"/>
              </w:rPr>
              <w:t>pecification impact</w:t>
            </w:r>
            <w:r>
              <w:rPr>
                <w:rFonts w:hint="eastAsia" w:eastAsia="宋体"/>
                <w:color w:val="000000"/>
                <w:sz w:val="20"/>
                <w:szCs w:val="20"/>
                <w:lang w:val="en-US" w:eastAsia="zh-CN"/>
              </w:rPr>
              <w:t>.</w:t>
            </w:r>
            <w:r>
              <w:rPr>
                <w:rFonts w:hint="eastAsia"/>
                <w:color w:val="000000"/>
                <w:sz w:val="20"/>
                <w:szCs w:val="20"/>
                <w:lang w:val="en-US" w:eastAsia="zh-CN"/>
              </w:rPr>
              <w:t xml:space="preserve"> </w:t>
            </w:r>
          </w:p>
          <w:p>
            <w:pPr>
              <w:spacing w:after="0"/>
              <w:rPr>
                <w:rFonts w:hint="default" w:eastAsia="宋体"/>
                <w:color w:val="000000"/>
                <w:sz w:val="20"/>
                <w:szCs w:val="20"/>
                <w:lang w:val="en-US" w:eastAsia="zh-CN"/>
              </w:rPr>
            </w:pPr>
            <w:r>
              <w:rPr>
                <w:rFonts w:hint="eastAsia"/>
                <w:color w:val="000000"/>
                <w:sz w:val="20"/>
                <w:szCs w:val="20"/>
                <w:lang w:val="en-US" w:eastAsia="zh-CN"/>
              </w:rPr>
              <w:t>Depend on the outcome of coexistence study.</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B</w:t>
            </w:r>
            <w:r>
              <w:rPr>
                <w:rFonts w:eastAsia="Times New Roman"/>
                <w:color w:val="000000"/>
                <w:sz w:val="20"/>
                <w:szCs w:val="20"/>
                <w:lang w:val="fi-FI" w:eastAsia="fi-FI"/>
              </w:rPr>
              <w:t>locking</w:t>
            </w:r>
            <w:r>
              <w:rPr>
                <w:rFonts w:hint="eastAsia" w:eastAsia="宋体"/>
                <w:color w:val="000000"/>
                <w:sz w:val="20"/>
                <w:szCs w:val="20"/>
                <w:lang w:val="en-US" w:eastAsia="zh-CN"/>
              </w:rPr>
              <w:t xml:space="preserve"> characteristics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Need further study.</w:t>
            </w:r>
          </w:p>
          <w:p>
            <w:pPr>
              <w:spacing w:after="0"/>
              <w:rPr>
                <w:rFonts w:hint="default"/>
                <w:color w:val="000000"/>
                <w:sz w:val="20"/>
                <w:szCs w:val="20"/>
                <w:lang w:val="en-US" w:eastAsia="zh-CN"/>
              </w:rPr>
            </w:pPr>
            <w:r>
              <w:rPr>
                <w:rFonts w:hint="eastAsia"/>
                <w:color w:val="000000"/>
                <w:sz w:val="20"/>
                <w:szCs w:val="20"/>
                <w:lang w:val="en-US" w:eastAsia="zh-CN"/>
              </w:rPr>
              <w:t>If we divide Ku band to FR1, requirements for 20 MHz, 35 MHz, 50 MHz, 70 MHz and 100 MHz channel bandwidth need to be defined.</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hint="eastAsia" w:eastAsia="Times New Roman"/>
                <w:color w:val="000000"/>
                <w:sz w:val="20"/>
                <w:szCs w:val="20"/>
                <w:lang w:val="fi-FI" w:eastAsia="fi-FI"/>
              </w:rPr>
              <w:t xml:space="preserve">Spurious </w:t>
            </w:r>
            <w:r>
              <w:rPr>
                <w:rFonts w:hint="eastAsia" w:eastAsia="宋体"/>
                <w:color w:val="000000"/>
                <w:sz w:val="20"/>
                <w:szCs w:val="20"/>
                <w:lang w:val="en-US" w:eastAsia="zh-CN"/>
              </w:rPr>
              <w:t>response</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Need further study.</w:t>
            </w:r>
          </w:p>
          <w:p>
            <w:pPr>
              <w:spacing w:after="0"/>
              <w:rPr>
                <w:rFonts w:hint="default" w:eastAsia="Times New Roman"/>
                <w:color w:val="000000"/>
                <w:sz w:val="20"/>
                <w:szCs w:val="20"/>
                <w:lang w:val="en-US" w:eastAsia="fi-FI"/>
              </w:rPr>
            </w:pPr>
            <w:r>
              <w:rPr>
                <w:rFonts w:hint="eastAsia"/>
                <w:color w:val="000000"/>
                <w:sz w:val="20"/>
                <w:szCs w:val="20"/>
                <w:lang w:val="en-US" w:eastAsia="zh-CN"/>
              </w:rPr>
              <w:t>If we divide Ku band to FR1, requirements for 20 MHz, 35 MHz, 50 MHz, 70 MHz and 100 MHz channel bandwidth need to be defined.</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Intermodulation characteristics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ascii="Times New Roman" w:hAnsi="Times New Roman" w:eastAsia="宋体" w:cs="Times New Roman"/>
                <w:color w:val="000000"/>
                <w:kern w:val="2"/>
                <w:sz w:val="20"/>
                <w:szCs w:val="20"/>
                <w:lang w:val="en-US" w:eastAsia="zh-CN" w:bidi="ar-SA"/>
              </w:rPr>
            </w:pPr>
            <w:r>
              <w:rPr>
                <w:rFonts w:hint="eastAsia" w:cs="Times New Roman"/>
                <w:color w:val="000000"/>
                <w:kern w:val="2"/>
                <w:sz w:val="20"/>
                <w:szCs w:val="20"/>
                <w:lang w:val="en-US" w:eastAsia="zh-CN" w:bidi="ar-SA"/>
              </w:rPr>
              <w:t>NA</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Times New Roman"/>
                <w:color w:val="000000"/>
                <w:sz w:val="20"/>
                <w:szCs w:val="20"/>
                <w:lang w:val="en-US" w:eastAsia="fi-FI"/>
              </w:rPr>
            </w:pPr>
            <w:r>
              <w:rPr>
                <w:rFonts w:hint="default" w:eastAsia="Times New Roman"/>
                <w:color w:val="000000"/>
                <w:sz w:val="20"/>
                <w:szCs w:val="20"/>
                <w:lang w:val="en-US" w:eastAsia="fi-FI"/>
              </w:rPr>
              <w:t>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color w:val="000000"/>
                <w:sz w:val="20"/>
                <w:szCs w:val="20"/>
                <w:lang w:val="en-US" w:eastAsia="zh-CN"/>
              </w:rPr>
              <w:t>Not applicable to VSAT.</w:t>
            </w:r>
          </w:p>
        </w:tc>
      </w:tr>
    </w:tbl>
    <w:p>
      <w:pPr>
        <w:rPr>
          <w:rFonts w:hint="eastAsia"/>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2: To use the proposals in Table 2.1 for UE RF requirements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eastAsia" w:ascii="Times New Roman" w:hAnsi="Times New Roman" w:eastAsia="宋体" w:cs="Times New Roman"/>
          <w:b w:val="0"/>
          <w:bCs w:val="0"/>
          <w:kern w:val="0"/>
          <w:sz w:val="20"/>
          <w:szCs w:val="20"/>
          <w:highlight w:val="none"/>
          <w:lang w:val="en-US" w:eastAsia="zh-CN" w:bidi="ar-SA"/>
        </w:rPr>
      </w:pPr>
      <w:r>
        <w:rPr>
          <w:rFonts w:hint="eastAsia"/>
          <w:b/>
          <w:bCs/>
          <w:sz w:val="20"/>
          <w:szCs w:val="18"/>
          <w:lang w:val="en-US" w:eastAsia="zh-CN"/>
        </w:rPr>
        <w:t>Proposal 1: We need to discuss whether Fixed VSAT and Mobile VSAT can be supported in Ku band.</w:t>
      </w:r>
    </w:p>
    <w:p>
      <w:pPr>
        <w:rPr>
          <w:rFonts w:hint="eastAsia"/>
          <w:b/>
          <w:bCs/>
          <w:i w:val="0"/>
          <w:iCs w:val="0"/>
          <w:sz w:val="20"/>
          <w:szCs w:val="20"/>
          <w:lang w:val="en-US" w:eastAsia="zh-CN"/>
        </w:rPr>
      </w:pPr>
      <w:r>
        <w:rPr>
          <w:rFonts w:hint="eastAsia"/>
          <w:b/>
          <w:bCs/>
          <w:i w:val="0"/>
          <w:iCs w:val="0"/>
          <w:sz w:val="20"/>
          <w:szCs w:val="20"/>
          <w:lang w:val="en-US" w:eastAsia="zh-CN"/>
        </w:rPr>
        <w:t>Proposal 2: To use the proposals in Table 2.1 for UE RF requirements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308058D"/>
    <w:multiLevelType w:val="multilevel"/>
    <w:tmpl w:val="0308058D"/>
    <w:lvl w:ilvl="0" w:tentative="0">
      <w:start w:val="0"/>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0"/>
  </w:num>
  <w:num w:numId="3">
    <w:abstractNumId w:val="8"/>
  </w:num>
  <w:num w:numId="4">
    <w:abstractNumId w:val="6"/>
  </w:num>
  <w:num w:numId="5">
    <w:abstractNumId w:val="7"/>
  </w:num>
  <w:num w:numId="6">
    <w:abstractNumId w:val="1"/>
  </w:num>
  <w:num w:numId="7">
    <w:abstractNumId w:val="0"/>
  </w:num>
  <w:num w:numId="8">
    <w:abstractNumId w:val="4"/>
  </w:num>
  <w:num w:numId="9">
    <w:abstractNumId w:val="11"/>
  </w:num>
  <w:num w:numId="10">
    <w:abstractNumId w:val="5"/>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9B77F5"/>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